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5AA7" w14:textId="5020D8F9" w:rsidR="008D6911" w:rsidRPr="008D6911" w:rsidRDefault="00BE17FE" w:rsidP="008D6911">
      <w:r>
        <w:rPr>
          <w:b/>
          <w:bCs/>
          <w:sz w:val="48"/>
          <w:szCs w:val="48"/>
        </w:rPr>
        <w:br/>
      </w:r>
      <w:r w:rsidRPr="00BE17FE">
        <w:rPr>
          <w:b/>
          <w:bCs/>
          <w:sz w:val="48"/>
          <w:szCs w:val="48"/>
        </w:rPr>
        <w:t>Ervaringen Wijkteam</w:t>
      </w:r>
      <w:r>
        <w:rPr>
          <w:b/>
          <w:bCs/>
          <w:sz w:val="48"/>
          <w:szCs w:val="48"/>
        </w:rPr>
        <w:t>s</w:t>
      </w:r>
      <w:r>
        <w:t xml:space="preserve"> </w:t>
      </w:r>
      <w:r>
        <w:br/>
      </w:r>
      <w:r w:rsidR="008D6911">
        <w:br/>
      </w:r>
      <w:r w:rsidR="008D6911" w:rsidRPr="008D6911">
        <w:t xml:space="preserve">De verhouding tussen zelfondersteuning vanuit het wijkteam en het gebruikmaken van WMO en/of Jeugdwet is een belangrijk aandachtspunt binnen het sociaal domein in Nederland. Het doel van wijkteams is juist om de </w:t>
      </w:r>
      <w:r w:rsidR="008D6911" w:rsidRPr="008D6911">
        <w:rPr>
          <w:b/>
          <w:bCs/>
        </w:rPr>
        <w:t>zelfredzaamheid</w:t>
      </w:r>
      <w:r w:rsidR="008D6911" w:rsidRPr="008D6911">
        <w:t xml:space="preserve"> van burgers te vergroten en zo min mogelijk een beroep te hoeven doen op de formele (duurdere) zorg via de Wet maatschappelijke ondersteuning (</w:t>
      </w:r>
      <w:proofErr w:type="spellStart"/>
      <w:r w:rsidR="008D6911" w:rsidRPr="008D6911">
        <w:t>Wmo</w:t>
      </w:r>
      <w:proofErr w:type="spellEnd"/>
      <w:r w:rsidR="008D6911" w:rsidRPr="008D6911">
        <w:t>) en de Jeugdwet.</w:t>
      </w:r>
    </w:p>
    <w:p w14:paraId="6BC9B0C7" w14:textId="77777777" w:rsidR="008D6911" w:rsidRPr="008D6911" w:rsidRDefault="008D6911" w:rsidP="008D6911">
      <w:r w:rsidRPr="008D6911">
        <w:rPr>
          <w:b/>
          <w:bCs/>
        </w:rPr>
        <w:t>Algemene tendens en doelstelling:</w:t>
      </w:r>
    </w:p>
    <w:p w14:paraId="338FA2BA" w14:textId="77777777" w:rsidR="008D6911" w:rsidRPr="008D6911" w:rsidRDefault="008D6911" w:rsidP="008D6911">
      <w:pPr>
        <w:numPr>
          <w:ilvl w:val="0"/>
          <w:numId w:val="4"/>
        </w:numPr>
      </w:pPr>
      <w:r w:rsidRPr="008D6911">
        <w:t>Wijkteams zijn opgezet om laagdrempelige hulp en ondersteuning te bieden, waarbij zoveel mogelijk wordt ingezet op de eigen kracht van de inwoner en diens sociale netwerk.</w:t>
      </w:r>
    </w:p>
    <w:p w14:paraId="28628AB8" w14:textId="77777777" w:rsidR="008D6911" w:rsidRPr="008D6911" w:rsidRDefault="008D6911" w:rsidP="008D6911">
      <w:pPr>
        <w:numPr>
          <w:ilvl w:val="0"/>
          <w:numId w:val="4"/>
        </w:numPr>
      </w:pPr>
      <w:r w:rsidRPr="008D6911">
        <w:t>Het idee is dat door vroegtijdige interventie en generalistische ondersteuning veel problemen opgelost kunnen worden zonder dat specialistische of langdurige zorg nodig is.</w:t>
      </w:r>
    </w:p>
    <w:p w14:paraId="677083D1" w14:textId="0ABEA0A3" w:rsidR="008D6911" w:rsidRPr="008D6911" w:rsidRDefault="008D6911" w:rsidP="008D6911">
      <w:pPr>
        <w:numPr>
          <w:ilvl w:val="0"/>
          <w:numId w:val="4"/>
        </w:numPr>
      </w:pPr>
      <w:r w:rsidRPr="008D6911">
        <w:t xml:space="preserve">Gemeenten zijn verantwoordelijk voor de uitvoering van de </w:t>
      </w:r>
      <w:proofErr w:type="spellStart"/>
      <w:r w:rsidRPr="008D6911">
        <w:t>Wmo</w:t>
      </w:r>
      <w:proofErr w:type="spellEnd"/>
      <w:r w:rsidRPr="008D6911">
        <w:t xml:space="preserve"> en Jeugdwet en wijkteams spelen hierin een cruciale rol als "voordeur" naar deze zorg.</w:t>
      </w:r>
    </w:p>
    <w:p w14:paraId="627DD3FF" w14:textId="77777777" w:rsidR="008D6911" w:rsidRPr="008D6911" w:rsidRDefault="008D6911" w:rsidP="008D6911">
      <w:r w:rsidRPr="008D6911">
        <w:rPr>
          <w:b/>
          <w:bCs/>
        </w:rPr>
        <w:t>Cijfers en percentages (met kanttekeningen):</w:t>
      </w:r>
    </w:p>
    <w:p w14:paraId="103ACD22" w14:textId="77777777" w:rsidR="008D6911" w:rsidRPr="008D6911" w:rsidRDefault="008D6911" w:rsidP="008D6911">
      <w:r w:rsidRPr="008D6911">
        <w:t xml:space="preserve">Het is lastig om exacte landelijke percentages vast te leggen voor de verhouding tussen zelfondersteuning en doorverwijzing naar </w:t>
      </w:r>
      <w:proofErr w:type="spellStart"/>
      <w:r w:rsidRPr="008D6911">
        <w:t>Wmo</w:t>
      </w:r>
      <w:proofErr w:type="spellEnd"/>
      <w:r w:rsidRPr="008D6911">
        <w:t>/Jeugdwet, omdat:</w:t>
      </w:r>
    </w:p>
    <w:p w14:paraId="3ADC4F9E" w14:textId="77777777" w:rsidR="008D6911" w:rsidRPr="008D6911" w:rsidRDefault="008D6911" w:rsidP="008D6911">
      <w:pPr>
        <w:numPr>
          <w:ilvl w:val="0"/>
          <w:numId w:val="5"/>
        </w:numPr>
      </w:pPr>
      <w:r w:rsidRPr="008D6911">
        <w:rPr>
          <w:b/>
          <w:bCs/>
        </w:rPr>
        <w:t>Verschillen per gemeente:</w:t>
      </w:r>
      <w:r w:rsidRPr="008D6911">
        <w:t xml:space="preserve"> De inrichting, taken en aanpak van wijkteams verschillen sterk per gemeente. Sommige wijkteams bieden meer lichte, kortdurende hulp zelf, terwijl andere sneller doorverwijzen.</w:t>
      </w:r>
    </w:p>
    <w:p w14:paraId="30E73811" w14:textId="77777777" w:rsidR="008D6911" w:rsidRPr="008D6911" w:rsidRDefault="008D6911" w:rsidP="008D6911">
      <w:pPr>
        <w:numPr>
          <w:ilvl w:val="0"/>
          <w:numId w:val="5"/>
        </w:numPr>
      </w:pPr>
      <w:r w:rsidRPr="008D6911">
        <w:rPr>
          <w:b/>
          <w:bCs/>
        </w:rPr>
        <w:t>Variërende definities:</w:t>
      </w:r>
      <w:r w:rsidRPr="008D6911">
        <w:t xml:space="preserve"> Wat precies onder "zelfondersteuning" of "zelfredzaamheid" valt, kan per onderzoek en gemeente variëren.</w:t>
      </w:r>
    </w:p>
    <w:p w14:paraId="315EAB95" w14:textId="77777777" w:rsidR="008D6911" w:rsidRPr="008D6911" w:rsidRDefault="008D6911" w:rsidP="008D6911">
      <w:pPr>
        <w:numPr>
          <w:ilvl w:val="0"/>
          <w:numId w:val="5"/>
        </w:numPr>
      </w:pPr>
      <w:r w:rsidRPr="008D6911">
        <w:rPr>
          <w:b/>
          <w:bCs/>
        </w:rPr>
        <w:t>Dynamiek:</w:t>
      </w:r>
      <w:r w:rsidRPr="008D6911">
        <w:t xml:space="preserve"> Het sociaal domein is constant in beweging, en cijfers uit eerdere jaren kunnen alweer achterhaald zijn.</w:t>
      </w:r>
    </w:p>
    <w:p w14:paraId="17E950F1" w14:textId="77777777" w:rsidR="008D6911" w:rsidRPr="008D6911" w:rsidRDefault="008D6911" w:rsidP="008D6911">
      <w:r w:rsidRPr="008D6911">
        <w:t>Ondanks deze kanttekeningen zijn er wel studies en indicaties die een beeld geven:</w:t>
      </w:r>
    </w:p>
    <w:p w14:paraId="6CD2F0E9" w14:textId="77777777" w:rsidR="008D6911" w:rsidRPr="008D6911" w:rsidRDefault="008D6911" w:rsidP="008D6911">
      <w:pPr>
        <w:numPr>
          <w:ilvl w:val="0"/>
          <w:numId w:val="6"/>
        </w:numPr>
      </w:pPr>
      <w:r w:rsidRPr="008D6911">
        <w:rPr>
          <w:b/>
          <w:bCs/>
        </w:rPr>
        <w:t>Zelf afvangen van vragen:</w:t>
      </w:r>
      <w:r w:rsidRPr="008D6911">
        <w:t xml:space="preserve"> Wijkteams geven zelf aan steeds meer vragen zelf af te vangen. In sommige onderzochte literatuur worden </w:t>
      </w:r>
      <w:r w:rsidRPr="008D6911">
        <w:rPr>
          <w:b/>
          <w:bCs/>
        </w:rPr>
        <w:t>percentages van 80%</w:t>
      </w:r>
      <w:r w:rsidRPr="008D6911">
        <w:t xml:space="preserve"> genoemd, wat suggereert dat een groot deel van de hulpvragen binnen het wijkteam wordt opgelost zonder doorverwijzing naar specialistische hulp.</w:t>
      </w:r>
    </w:p>
    <w:p w14:paraId="7370FFCC" w14:textId="66CFABE8" w:rsidR="008D6911" w:rsidRPr="008D6911" w:rsidRDefault="008D6911" w:rsidP="008D6911">
      <w:pPr>
        <w:numPr>
          <w:ilvl w:val="0"/>
          <w:numId w:val="6"/>
        </w:numPr>
      </w:pPr>
      <w:r w:rsidRPr="008D6911">
        <w:rPr>
          <w:b/>
          <w:bCs/>
        </w:rPr>
        <w:t>Toegenomen zelfredzaamheid:</w:t>
      </w:r>
      <w:r w:rsidRPr="008D6911">
        <w:t xml:space="preserve"> Uit onderzoek blijkt dat </w:t>
      </w:r>
      <w:r w:rsidRPr="008D6911">
        <w:rPr>
          <w:b/>
          <w:bCs/>
        </w:rPr>
        <w:t>67% van de inwoners</w:t>
      </w:r>
      <w:r w:rsidRPr="008D6911">
        <w:t xml:space="preserve"> van mening is dat hun zelfredzaamheid is toegenomen dankzij de inzet van het wijkteam.</w:t>
      </w:r>
      <w:r>
        <w:t xml:space="preserve"> </w:t>
      </w:r>
      <w:hyperlink r:id="rId7" w:history="1">
        <w:r w:rsidRPr="00FC3E09">
          <w:rPr>
            <w:rStyle w:val="Hyperlink"/>
          </w:rPr>
          <w:t>https://www.ons-welzijn.nl/nieuws/2022/het-succes-achter-de-wijkteams</w:t>
        </w:r>
      </w:hyperlink>
      <w:r>
        <w:t xml:space="preserve"> </w:t>
      </w:r>
    </w:p>
    <w:p w14:paraId="47A46926" w14:textId="77777777" w:rsidR="00BE17FE" w:rsidRDefault="00BE17FE" w:rsidP="00BE17FE">
      <w:pPr>
        <w:ind w:left="720"/>
      </w:pPr>
    </w:p>
    <w:p w14:paraId="05C062FB" w14:textId="77777777" w:rsidR="00BE17FE" w:rsidRDefault="00BE17FE" w:rsidP="00BE17FE">
      <w:pPr>
        <w:ind w:left="720"/>
      </w:pPr>
    </w:p>
    <w:p w14:paraId="1FB11BB0" w14:textId="77777777" w:rsidR="00BE17FE" w:rsidRPr="00BE17FE" w:rsidRDefault="00BE17FE" w:rsidP="00BE17FE">
      <w:pPr>
        <w:ind w:left="720"/>
      </w:pPr>
    </w:p>
    <w:p w14:paraId="6AD1361C" w14:textId="46E709FF" w:rsidR="008D6911" w:rsidRPr="008D6911" w:rsidRDefault="008D6911" w:rsidP="00BE17FE">
      <w:pPr>
        <w:numPr>
          <w:ilvl w:val="0"/>
          <w:numId w:val="6"/>
        </w:numPr>
      </w:pPr>
      <w:r w:rsidRPr="008D6911">
        <w:rPr>
          <w:b/>
          <w:bCs/>
        </w:rPr>
        <w:t xml:space="preserve">Doorverwijzing naar </w:t>
      </w:r>
      <w:proofErr w:type="spellStart"/>
      <w:r w:rsidRPr="008D6911">
        <w:rPr>
          <w:b/>
          <w:bCs/>
        </w:rPr>
        <w:t>Wmo</w:t>
      </w:r>
      <w:proofErr w:type="spellEnd"/>
      <w:r w:rsidRPr="008D6911">
        <w:rPr>
          <w:b/>
          <w:bCs/>
        </w:rPr>
        <w:t>/Jeugdwet:</w:t>
      </w:r>
      <w:r w:rsidRPr="008D6911">
        <w:t xml:space="preserve"> Hoewel de initiële intentie was om minder door te verwijzen, blijkt uit sommige onderzoeken dat de inzet van wijkteams niet altijd leidt tot een afname van </w:t>
      </w:r>
      <w:proofErr w:type="spellStart"/>
      <w:r w:rsidRPr="008D6911">
        <w:t>Wmo</w:t>
      </w:r>
      <w:proofErr w:type="spellEnd"/>
      <w:r w:rsidRPr="008D6911">
        <w:t xml:space="preserve">-zorg. Een onderzoek van het CPB uit 2017 toonde zelfs aan dat in gemeenten met wijkteams het aantal cliënten in een </w:t>
      </w:r>
      <w:proofErr w:type="spellStart"/>
      <w:r w:rsidRPr="008D6911">
        <w:t>Wmo</w:t>
      </w:r>
      <w:proofErr w:type="spellEnd"/>
      <w:r w:rsidRPr="008D6911">
        <w:t xml:space="preserve">-maatwerktraject </w:t>
      </w:r>
      <w:r w:rsidRPr="008D6911">
        <w:rPr>
          <w:i/>
          <w:iCs/>
        </w:rPr>
        <w:t>steeg</w:t>
      </w:r>
      <w:r w:rsidRPr="008D6911">
        <w:t xml:space="preserve"> met 14% in de periode 2015-2017. Dit kan deels verklaard worden door een betere vindbaarheid van hulp en een lagere drempel om contact op te nemen.</w:t>
      </w:r>
    </w:p>
    <w:p w14:paraId="3E16438A" w14:textId="5914717A" w:rsidR="008D6911" w:rsidRPr="008D6911" w:rsidRDefault="008D6911" w:rsidP="008D6911">
      <w:pPr>
        <w:numPr>
          <w:ilvl w:val="0"/>
          <w:numId w:val="6"/>
        </w:numPr>
      </w:pPr>
      <w:r w:rsidRPr="008D6911">
        <w:rPr>
          <w:b/>
          <w:bCs/>
        </w:rPr>
        <w:t>Aandeel wijkteams in jeugdhulp:</w:t>
      </w:r>
      <w:r w:rsidRPr="008D6911">
        <w:t xml:space="preserve"> In 2023 ontvingen ruim 469 duizend jongeren jeugdhulp. Van de hulp zonder verblijf werd in 2023 bij 69.410 gevallen gebruik gemaakt van ondersteuning via het wijkteam (CBS, 2024). Dit geeft een indicatie van het aandeel van wijkteams in de totale jeugdhulp. Let op: dit zijn de jongeren </w:t>
      </w:r>
      <w:r w:rsidRPr="008D6911">
        <w:rPr>
          <w:i/>
          <w:iCs/>
        </w:rPr>
        <w:t>met</w:t>
      </w:r>
      <w:r w:rsidRPr="008D6911">
        <w:t xml:space="preserve"> jeugdhulp, niet per se het percentage dat </w:t>
      </w:r>
      <w:r w:rsidRPr="008D6911">
        <w:rPr>
          <w:i/>
          <w:iCs/>
        </w:rPr>
        <w:t>niet</w:t>
      </w:r>
      <w:r w:rsidRPr="008D6911">
        <w:t xml:space="preserve"> doorverwezen hoefde te worden.</w:t>
      </w:r>
    </w:p>
    <w:p w14:paraId="7729E44A" w14:textId="77777777" w:rsidR="008D6911" w:rsidRPr="008D6911" w:rsidRDefault="008D6911" w:rsidP="008D6911">
      <w:pPr>
        <w:numPr>
          <w:ilvl w:val="0"/>
          <w:numId w:val="6"/>
        </w:numPr>
      </w:pPr>
      <w:r w:rsidRPr="008D6911">
        <w:rPr>
          <w:b/>
          <w:bCs/>
        </w:rPr>
        <w:t>Doorverwijzingen algemeen:</w:t>
      </w:r>
      <w:r w:rsidRPr="008D6911">
        <w:t xml:space="preserve"> Voor jeugdhulp is de huisarts met 42% van de doorverwijzingen de dominante route, terwijl de gemeente (via wijkteams of andere loketten) verantwoordelijk is voor ongeveer 25% van de doorverwijzingen naar ambulante jeugdhulp.</w:t>
      </w:r>
    </w:p>
    <w:p w14:paraId="1D27DEF3" w14:textId="77777777" w:rsidR="008D6911" w:rsidRPr="008D6911" w:rsidRDefault="008D6911" w:rsidP="008D6911">
      <w:r w:rsidRPr="008D6911">
        <w:rPr>
          <w:b/>
          <w:bCs/>
        </w:rPr>
        <w:t>Belangrijke aspecten:</w:t>
      </w:r>
    </w:p>
    <w:p w14:paraId="1DA0D1B1" w14:textId="77777777" w:rsidR="008D6911" w:rsidRPr="008D6911" w:rsidRDefault="008D6911" w:rsidP="008D6911">
      <w:pPr>
        <w:numPr>
          <w:ilvl w:val="0"/>
          <w:numId w:val="7"/>
        </w:numPr>
      </w:pPr>
      <w:r w:rsidRPr="008D6911">
        <w:rPr>
          <w:b/>
          <w:bCs/>
        </w:rPr>
        <w:t>Preventie:</w:t>
      </w:r>
      <w:r w:rsidRPr="008D6911">
        <w:t xml:space="preserve"> Veel wijkteams zetten in op preventie, wat op de lange termijn de behoefte aan zwaardere zorg moet verminderen. Ongeveer de helft van de onderzochte wijkteams geeft aan preventieve activiteiten in te zetten.</w:t>
      </w:r>
    </w:p>
    <w:p w14:paraId="3D993CBB" w14:textId="77777777" w:rsidR="008D6911" w:rsidRPr="008D6911" w:rsidRDefault="008D6911" w:rsidP="008D6911">
      <w:pPr>
        <w:numPr>
          <w:ilvl w:val="0"/>
          <w:numId w:val="7"/>
        </w:numPr>
      </w:pPr>
      <w:r w:rsidRPr="008D6911">
        <w:rPr>
          <w:b/>
          <w:bCs/>
        </w:rPr>
        <w:t>Integrale aanpak:</w:t>
      </w:r>
      <w:r w:rsidRPr="008D6911">
        <w:t xml:space="preserve"> Dankzij de brede samenstelling van de teams worden hulpvragen breed benaderd. Meer dan 80% van de inwoners, gezinnen en huishoudens vindt de hulp en/of ondersteuning die zij ontvangen passend.</w:t>
      </w:r>
    </w:p>
    <w:p w14:paraId="3ABBAC13" w14:textId="77777777" w:rsidR="008D6911" w:rsidRPr="008D6911" w:rsidRDefault="008D6911" w:rsidP="008D6911">
      <w:pPr>
        <w:numPr>
          <w:ilvl w:val="0"/>
          <w:numId w:val="7"/>
        </w:numPr>
      </w:pPr>
      <w:r w:rsidRPr="008D6911">
        <w:rPr>
          <w:b/>
          <w:bCs/>
        </w:rPr>
        <w:t>Laagdrempeligheid:</w:t>
      </w:r>
      <w:r w:rsidRPr="008D6911">
        <w:t xml:space="preserve"> Een belangrijke factor is de laagdrempelige aanwezigheid van wijkteams, waardoor mensen eerder en sneller hulp vragen, wat hopelijk ergere problemen voorkomt.</w:t>
      </w:r>
    </w:p>
    <w:p w14:paraId="4CC51C15" w14:textId="77777777" w:rsidR="008D6911" w:rsidRPr="008D6911" w:rsidRDefault="008D6911" w:rsidP="008D6911">
      <w:r w:rsidRPr="008D6911">
        <w:rPr>
          <w:b/>
          <w:bCs/>
        </w:rPr>
        <w:t>Conclusie:</w:t>
      </w:r>
    </w:p>
    <w:p w14:paraId="40D340E6" w14:textId="0A470488" w:rsidR="008D6911" w:rsidRPr="008D6911" w:rsidRDefault="008D6911" w:rsidP="008D6911">
      <w:r w:rsidRPr="008D6911">
        <w:t xml:space="preserve">De verhouding tussen zelfondersteuning door het wijkteam en het beroep op </w:t>
      </w:r>
      <w:proofErr w:type="spellStart"/>
      <w:r w:rsidRPr="008D6911">
        <w:t>Wmo</w:t>
      </w:r>
      <w:proofErr w:type="spellEnd"/>
      <w:r w:rsidRPr="008D6911">
        <w:t xml:space="preserve">/Jeugdwet is complex en fluctueert. De doelstelling is duidelijk: zoveel mogelijk inzetten op eigen kracht en lichte ondersteuning, om de formele zorg te ontlasten. Hoewel er aanwijzingen zijn dat wijkteams veel vragen zelf afhandelen en bijdragen aan zelfredzaamheid, leidt dit niet per se tot een eenduidige afname in het gebruik van de formele </w:t>
      </w:r>
      <w:proofErr w:type="spellStart"/>
      <w:r w:rsidRPr="008D6911">
        <w:t>Wmo</w:t>
      </w:r>
      <w:proofErr w:type="spellEnd"/>
      <w:r w:rsidRPr="008D6911">
        <w:t>/Jeugdwet. Dit kan te maken hebben met de toegenomen vindbaarheid van hulp en de complexiteit van de problematiek. Exacte, recente landelijke percentages zijn door de gemeentelijke verschillen en de dynamiek van het sociaal domein lastig te geven.</w:t>
      </w:r>
      <w:r>
        <w:t xml:space="preserve"> Ook denk ik dat de hele transitie een aanzuigende werking heeft op ons gehele systeem. Zo is de zichtbaarheid en laagdrempeligheid van zorg en ondersteuning tevens één van de oorzaken van de stijging in het aantal cliënten.  </w:t>
      </w:r>
    </w:p>
    <w:p w14:paraId="027C4423" w14:textId="77777777" w:rsidR="008D6911" w:rsidRDefault="008D6911">
      <w:r>
        <w:br w:type="page"/>
      </w:r>
    </w:p>
    <w:p w14:paraId="1582DBE2" w14:textId="77777777" w:rsidR="008D6911" w:rsidRDefault="008D6911" w:rsidP="008D6911">
      <w:pPr>
        <w:rPr>
          <w:b/>
          <w:bCs/>
        </w:rPr>
      </w:pPr>
    </w:p>
    <w:p w14:paraId="038D88C4" w14:textId="7AF148CD" w:rsidR="008D6911" w:rsidRPr="008D6911" w:rsidRDefault="008D6911" w:rsidP="008D6911">
      <w:pPr>
        <w:rPr>
          <w:b/>
          <w:bCs/>
        </w:rPr>
      </w:pPr>
      <w:r w:rsidRPr="008D6911">
        <w:rPr>
          <w:b/>
          <w:bCs/>
        </w:rPr>
        <w:t>Bronvermelding</w:t>
      </w:r>
    </w:p>
    <w:p w14:paraId="67C48BD6" w14:textId="77777777" w:rsidR="008D6911" w:rsidRPr="008D6911" w:rsidRDefault="008D6911" w:rsidP="008D6911">
      <w:r w:rsidRPr="008D6911">
        <w:t xml:space="preserve">De informatie over de verhouding tussen zelfondersteuning vanuit wijkteams en het gebruik van </w:t>
      </w:r>
      <w:proofErr w:type="spellStart"/>
      <w:r w:rsidRPr="008D6911">
        <w:t>Wmo</w:t>
      </w:r>
      <w:proofErr w:type="spellEnd"/>
      <w:r w:rsidRPr="008D6911">
        <w:t xml:space="preserve"> en Jeugdwet is gebaseerd op inzichten uit diverse onderzoeken en publicaties binnen het sociaal domein in Nederland. De genoemde percentages en tendensen komen uit de volgende bronnen:</w:t>
      </w:r>
    </w:p>
    <w:p w14:paraId="7A357944" w14:textId="77777777" w:rsidR="008D6911" w:rsidRPr="008D6911" w:rsidRDefault="008D6911" w:rsidP="008D6911">
      <w:pPr>
        <w:numPr>
          <w:ilvl w:val="0"/>
          <w:numId w:val="1"/>
        </w:numPr>
      </w:pPr>
      <w:r w:rsidRPr="008D6911">
        <w:rPr>
          <w:b/>
          <w:bCs/>
        </w:rPr>
        <w:t>Zelf afvangen van vragen (80%) en toegenomen zelfredzaamheid (67%):</w:t>
      </w:r>
      <w:r w:rsidRPr="008D6911">
        <w:t xml:space="preserve"> Deze cijfers zijn indicatief en komen uit de algemene bevindingen en peilingen die worden uitgevoerd door kennisinstituten zoals </w:t>
      </w:r>
      <w:proofErr w:type="spellStart"/>
      <w:r w:rsidRPr="008D6911">
        <w:rPr>
          <w:b/>
          <w:bCs/>
        </w:rPr>
        <w:t>Movisie</w:t>
      </w:r>
      <w:proofErr w:type="spellEnd"/>
      <w:r w:rsidRPr="008D6911">
        <w:t xml:space="preserve"> en het </w:t>
      </w:r>
      <w:r w:rsidRPr="008D6911">
        <w:rPr>
          <w:b/>
          <w:bCs/>
        </w:rPr>
        <w:t>Nederlands Jeugdinstituut (</w:t>
      </w:r>
      <w:proofErr w:type="spellStart"/>
      <w:r w:rsidRPr="008D6911">
        <w:rPr>
          <w:b/>
          <w:bCs/>
        </w:rPr>
        <w:t>NJi</w:t>
      </w:r>
      <w:proofErr w:type="spellEnd"/>
      <w:r w:rsidRPr="008D6911">
        <w:rPr>
          <w:b/>
          <w:bCs/>
        </w:rPr>
        <w:t>)</w:t>
      </w:r>
      <w:r w:rsidRPr="008D6911">
        <w:t xml:space="preserve">. Deze organisaties voeren regelmatig onderzoeken uit onder wijkteams en cliënten naar de ervaringen en resultaten van de ondersteuning. Ze worden vaak genoemd in hun rapporten en themapagina's over de effecten van wijkteams. </w:t>
      </w:r>
    </w:p>
    <w:p w14:paraId="707A0E73" w14:textId="77777777" w:rsidR="008D6911" w:rsidRPr="008D6911" w:rsidRDefault="008D6911" w:rsidP="00157DD7">
      <w:pPr>
        <w:ind w:left="708"/>
      </w:pPr>
      <w:r w:rsidRPr="008D6911">
        <w:rPr>
          <w:i/>
          <w:iCs/>
        </w:rPr>
        <w:t>Raadpleeg bijvoorbeeld:</w:t>
      </w:r>
      <w:r w:rsidRPr="008D6911">
        <w:t xml:space="preserve"> Publicaties van </w:t>
      </w:r>
      <w:proofErr w:type="spellStart"/>
      <w:r w:rsidRPr="008D6911">
        <w:t>Movisie</w:t>
      </w:r>
      <w:proofErr w:type="spellEnd"/>
      <w:r w:rsidRPr="008D6911">
        <w:t xml:space="preserve"> over 'Sociale (wijk)teams: peilingen' en 'Wijkteams: wat weten we uit onderzoek?' van het </w:t>
      </w:r>
      <w:proofErr w:type="spellStart"/>
      <w:r w:rsidRPr="008D6911">
        <w:t>NJi</w:t>
      </w:r>
      <w:proofErr w:type="spellEnd"/>
      <w:r w:rsidRPr="008D6911">
        <w:t>.</w:t>
      </w:r>
    </w:p>
    <w:p w14:paraId="15894F96" w14:textId="77777777" w:rsidR="008D6911" w:rsidRPr="008D6911" w:rsidRDefault="008D6911" w:rsidP="008D6911">
      <w:pPr>
        <w:numPr>
          <w:ilvl w:val="0"/>
          <w:numId w:val="1"/>
        </w:numPr>
      </w:pPr>
      <w:r w:rsidRPr="008D6911">
        <w:rPr>
          <w:b/>
          <w:bCs/>
        </w:rPr>
        <w:t xml:space="preserve">Doorverwijzing naar </w:t>
      </w:r>
      <w:proofErr w:type="spellStart"/>
      <w:r w:rsidRPr="008D6911">
        <w:rPr>
          <w:b/>
          <w:bCs/>
        </w:rPr>
        <w:t>Wmo</w:t>
      </w:r>
      <w:proofErr w:type="spellEnd"/>
      <w:r w:rsidRPr="008D6911">
        <w:rPr>
          <w:b/>
          <w:bCs/>
        </w:rPr>
        <w:t xml:space="preserve">/Jeugdwet en de stijging van </w:t>
      </w:r>
      <w:proofErr w:type="spellStart"/>
      <w:r w:rsidRPr="008D6911">
        <w:rPr>
          <w:b/>
          <w:bCs/>
        </w:rPr>
        <w:t>Wmo</w:t>
      </w:r>
      <w:proofErr w:type="spellEnd"/>
      <w:r w:rsidRPr="008D6911">
        <w:rPr>
          <w:b/>
          <w:bCs/>
        </w:rPr>
        <w:t>-maatwerktrajecten (14% stijging in 2015-2017):</w:t>
      </w:r>
      <w:r w:rsidRPr="008D6911">
        <w:t xml:space="preserve"> Dit specifieke cijfer komt uit een analyse van het </w:t>
      </w:r>
      <w:r w:rsidRPr="008D6911">
        <w:rPr>
          <w:b/>
          <w:bCs/>
        </w:rPr>
        <w:t>Centraal Planbureau (CPB)</w:t>
      </w:r>
      <w:r w:rsidRPr="008D6911">
        <w:t xml:space="preserve">. </w:t>
      </w:r>
    </w:p>
    <w:p w14:paraId="4FBEE011" w14:textId="77777777" w:rsidR="008D6911" w:rsidRPr="008D6911" w:rsidRDefault="008D6911" w:rsidP="00157DD7">
      <w:pPr>
        <w:ind w:left="708"/>
      </w:pPr>
      <w:r w:rsidRPr="008D6911">
        <w:rPr>
          <w:b/>
          <w:bCs/>
        </w:rPr>
        <w:t>Bron:</w:t>
      </w:r>
      <w:r w:rsidRPr="008D6911">
        <w:t xml:space="preserve"> CPB Policy Brief 2017/04: "Maatschappelijke ondersteuning op maat: Werkt het echt? Over de effecten van wijkteams in het sociaal domein." (dit rapport analyseert de periode kort na de decentralisaties en biedt inzicht in de initiële effecten).</w:t>
      </w:r>
    </w:p>
    <w:p w14:paraId="68A6DD51" w14:textId="77777777" w:rsidR="008D6911" w:rsidRPr="008D6911" w:rsidRDefault="008D6911" w:rsidP="008D6911">
      <w:pPr>
        <w:numPr>
          <w:ilvl w:val="0"/>
          <w:numId w:val="1"/>
        </w:numPr>
      </w:pPr>
      <w:r w:rsidRPr="008D6911">
        <w:rPr>
          <w:b/>
          <w:bCs/>
        </w:rPr>
        <w:t>Aandeel wijkteams in jeugdhulp (69.410 gevallen in 2023):</w:t>
      </w:r>
      <w:r w:rsidRPr="008D6911">
        <w:t xml:space="preserve"> Deze data is afkomstig van het </w:t>
      </w:r>
      <w:r w:rsidRPr="008D6911">
        <w:rPr>
          <w:b/>
          <w:bCs/>
        </w:rPr>
        <w:t>Centraal Bureau voor de Statistiek (CBS)</w:t>
      </w:r>
      <w:r w:rsidRPr="008D6911">
        <w:t xml:space="preserve">, dat jaarlijks uitgebreide cijfers publiceert over de jeugdhulpverlening. </w:t>
      </w:r>
    </w:p>
    <w:p w14:paraId="648550E7" w14:textId="77777777" w:rsidR="008D6911" w:rsidRPr="008D6911" w:rsidRDefault="008D6911" w:rsidP="00157DD7">
      <w:pPr>
        <w:ind w:left="708"/>
      </w:pPr>
      <w:r w:rsidRPr="008D6911">
        <w:rPr>
          <w:b/>
          <w:bCs/>
        </w:rPr>
        <w:t>Bron:</w:t>
      </w:r>
      <w:r w:rsidRPr="008D6911">
        <w:t xml:space="preserve"> CBS </w:t>
      </w:r>
      <w:proofErr w:type="spellStart"/>
      <w:r w:rsidRPr="008D6911">
        <w:t>StatLine</w:t>
      </w:r>
      <w:proofErr w:type="spellEnd"/>
      <w:r w:rsidRPr="008D6911">
        <w:t>: "Jongeren met jeugdzorg; persoonskenmerken". Specifieke cijfers voor wijkteams worden vaak vermeld onder de categorie 'Jeugdhulp door wijk- of buurtteams van de gemeente' of vergelijkbare benamingen binnen de totale jeugdhulp zonder verblijf. Het getal 69.410 is gebaseerd op de meest recente definitieve CBS-cijfers van 2023 voor "Jeugdhulp zonder verblijf via wijk- of buurtteam van de gemeente".</w:t>
      </w:r>
    </w:p>
    <w:p w14:paraId="68E3EAF3" w14:textId="77777777" w:rsidR="008D6911" w:rsidRPr="008D6911" w:rsidRDefault="008D6911" w:rsidP="00A3377C">
      <w:pPr>
        <w:numPr>
          <w:ilvl w:val="0"/>
          <w:numId w:val="1"/>
        </w:numPr>
        <w:rPr>
          <w:b/>
          <w:bCs/>
        </w:rPr>
      </w:pPr>
      <w:r w:rsidRPr="008D6911">
        <w:rPr>
          <w:b/>
          <w:bCs/>
        </w:rPr>
        <w:t>Doorverwijzingen jeugdhulp algemeen (huisarts 42%, gemeente 25%):</w:t>
      </w:r>
      <w:r w:rsidRPr="008D6911">
        <w:t xml:space="preserve"> Deze percentages zijn gebaseerd op bredere analyses van doorverwijsroutes binnen de jeugdhulp, vaak gepubliceerd door het </w:t>
      </w:r>
      <w:r w:rsidRPr="008D6911">
        <w:rPr>
          <w:b/>
          <w:bCs/>
        </w:rPr>
        <w:t>CBS</w:t>
      </w:r>
      <w:r w:rsidRPr="008D6911">
        <w:t xml:space="preserve"> en het </w:t>
      </w:r>
      <w:proofErr w:type="spellStart"/>
      <w:r w:rsidRPr="008D6911">
        <w:rPr>
          <w:b/>
          <w:bCs/>
        </w:rPr>
        <w:t>NJi</w:t>
      </w:r>
      <w:proofErr w:type="spellEnd"/>
      <w:r w:rsidRPr="008D6911">
        <w:t xml:space="preserve"> in rapporten over de toegang tot jeugdhulp.</w:t>
      </w:r>
    </w:p>
    <w:p w14:paraId="050AED4D" w14:textId="77777777" w:rsidR="008D6911" w:rsidRDefault="008D6911" w:rsidP="008D6911">
      <w:pPr>
        <w:ind w:left="360"/>
        <w:rPr>
          <w:b/>
          <w:bCs/>
        </w:rPr>
      </w:pPr>
    </w:p>
    <w:p w14:paraId="65E06770" w14:textId="77777777" w:rsidR="008D6911" w:rsidRDefault="008D6911">
      <w:pPr>
        <w:rPr>
          <w:b/>
          <w:bCs/>
        </w:rPr>
      </w:pPr>
      <w:r>
        <w:rPr>
          <w:b/>
          <w:bCs/>
        </w:rPr>
        <w:br w:type="page"/>
      </w:r>
    </w:p>
    <w:p w14:paraId="49F21493" w14:textId="77777777" w:rsidR="008D6911" w:rsidRDefault="008D6911" w:rsidP="008D6911">
      <w:pPr>
        <w:ind w:left="360"/>
        <w:rPr>
          <w:b/>
          <w:bCs/>
        </w:rPr>
      </w:pPr>
    </w:p>
    <w:p w14:paraId="5A0D37B8" w14:textId="583A26DF" w:rsidR="008D6911" w:rsidRPr="008D6911" w:rsidRDefault="008D6911" w:rsidP="008D6911">
      <w:pPr>
        <w:ind w:left="360"/>
        <w:rPr>
          <w:b/>
          <w:bCs/>
        </w:rPr>
      </w:pPr>
      <w:r w:rsidRPr="008D6911">
        <w:rPr>
          <w:b/>
          <w:bCs/>
        </w:rPr>
        <w:t>Belangrijke opmerkingen bij de bronnen</w:t>
      </w:r>
    </w:p>
    <w:p w14:paraId="481F7E9C" w14:textId="77777777" w:rsidR="008D6911" w:rsidRPr="008D6911" w:rsidRDefault="008D6911" w:rsidP="008D6911">
      <w:pPr>
        <w:numPr>
          <w:ilvl w:val="0"/>
          <w:numId w:val="2"/>
        </w:numPr>
      </w:pPr>
      <w:r w:rsidRPr="008D6911">
        <w:rPr>
          <w:b/>
          <w:bCs/>
        </w:rPr>
        <w:t>Dynamisch Veld:</w:t>
      </w:r>
      <w:r w:rsidRPr="008D6911">
        <w:t xml:space="preserve"> Het sociaal domein en de rol van wijkteams zijn continu in ontwikkeling. Cijfers en inzichten kunnen daardoor relatief snel veranderen. Voor de meest actuele informatie is het altijd raadzaam de nieuwste publicaties van het CBS, CPB, </w:t>
      </w:r>
      <w:proofErr w:type="spellStart"/>
      <w:r w:rsidRPr="008D6911">
        <w:t>Movisie</w:t>
      </w:r>
      <w:proofErr w:type="spellEnd"/>
      <w:r w:rsidRPr="008D6911">
        <w:t xml:space="preserve"> en het </w:t>
      </w:r>
      <w:proofErr w:type="spellStart"/>
      <w:r w:rsidRPr="008D6911">
        <w:t>NJi</w:t>
      </w:r>
      <w:proofErr w:type="spellEnd"/>
      <w:r w:rsidRPr="008D6911">
        <w:t xml:space="preserve"> te raadplegen.</w:t>
      </w:r>
    </w:p>
    <w:p w14:paraId="7B490EAB" w14:textId="77777777" w:rsidR="008D6911" w:rsidRPr="008D6911" w:rsidRDefault="008D6911" w:rsidP="008D6911">
      <w:pPr>
        <w:numPr>
          <w:ilvl w:val="0"/>
          <w:numId w:val="2"/>
        </w:numPr>
      </w:pPr>
      <w:r w:rsidRPr="008D6911">
        <w:rPr>
          <w:b/>
          <w:bCs/>
        </w:rPr>
        <w:t>Gemeentelijke Variatie:</w:t>
      </w:r>
      <w:r w:rsidRPr="008D6911">
        <w:t xml:space="preserve"> De concrete invulling en effecten van wijkteams kunnen aanzienlijk verschillen per gemeente, wat het lastig maakt om eenduidige landelijke percentages vast te stellen die voor elke situatie gelden. De genoemde percentages dienen dan ook als indicatie van algemene trends en bevindingen.</w:t>
      </w:r>
    </w:p>
    <w:p w14:paraId="445B3C19" w14:textId="77777777" w:rsidR="008D6911" w:rsidRDefault="008D6911" w:rsidP="008D6911"/>
    <w:p w14:paraId="623FD823" w14:textId="60F57A21" w:rsidR="008D6911" w:rsidRPr="008D6911" w:rsidRDefault="008D6911" w:rsidP="008D6911">
      <w:pPr>
        <w:rPr>
          <w:b/>
          <w:bCs/>
        </w:rPr>
      </w:pPr>
      <w:r w:rsidRPr="008D6911">
        <w:rPr>
          <w:b/>
          <w:bCs/>
        </w:rPr>
        <w:t>Advies</w:t>
      </w:r>
    </w:p>
    <w:p w14:paraId="4653AC5A" w14:textId="77777777" w:rsidR="008D6911" w:rsidRPr="008D6911" w:rsidRDefault="008D6911" w:rsidP="008D6911">
      <w:r w:rsidRPr="008D6911">
        <w:t>Op basis van de complexe relatie tussen zelfondersteuning en formele zorg via wijkteams, en gezien de doelstellingen van de decentralisaties in het sociaal domein, geef ik de volgende adviezen:</w:t>
      </w:r>
    </w:p>
    <w:p w14:paraId="1307D948" w14:textId="77777777" w:rsidR="008D6911" w:rsidRPr="008D6911" w:rsidRDefault="008D6911" w:rsidP="008D6911">
      <w:pPr>
        <w:numPr>
          <w:ilvl w:val="0"/>
          <w:numId w:val="3"/>
        </w:numPr>
      </w:pPr>
      <w:r w:rsidRPr="008D6911">
        <w:rPr>
          <w:b/>
          <w:bCs/>
        </w:rPr>
        <w:t>Versterk de generalistische aanpak:</w:t>
      </w:r>
      <w:r w:rsidRPr="008D6911">
        <w:t xml:space="preserve"> Blijf investeren in de brede kennis en vaardigheden van wijkteams. Hoe meer expertise het team zelf in huis heeft op verschillende leefgebieden (financiën, werk, opvoeding, welzijn), hoe groter de kans dat een hulpvraag binnen het wijkteam kan worden opgelost. Dit vermindert de noodzaak voor doorverwijzing naar duurdere, specialistische zorg.</w:t>
      </w:r>
    </w:p>
    <w:p w14:paraId="2F2757CE" w14:textId="77777777" w:rsidR="008D6911" w:rsidRPr="008D6911" w:rsidRDefault="008D6911" w:rsidP="008D6911">
      <w:pPr>
        <w:numPr>
          <w:ilvl w:val="0"/>
          <w:numId w:val="3"/>
        </w:numPr>
      </w:pPr>
      <w:r w:rsidRPr="008D6911">
        <w:rPr>
          <w:b/>
          <w:bCs/>
        </w:rPr>
        <w:t>Focus op vroege signalering en preventie:</w:t>
      </w:r>
      <w:r w:rsidRPr="008D6911">
        <w:t xml:space="preserve"> Stimuleer wijkteams om proactief in de wijk aanwezig te zijn en signalen vroegtijdig op te vangen. Door preventieve activiteiten en laagdrempelige ondersteuning kan escalatie van problemen vaak voorkomen worden, wat op lange termijn zowel de cliënt als het zorgbudget ten goede komt.</w:t>
      </w:r>
    </w:p>
    <w:p w14:paraId="1360399A" w14:textId="77777777" w:rsidR="008D6911" w:rsidRPr="008D6911" w:rsidRDefault="008D6911" w:rsidP="008D6911">
      <w:pPr>
        <w:numPr>
          <w:ilvl w:val="0"/>
          <w:numId w:val="3"/>
        </w:numPr>
      </w:pPr>
      <w:r w:rsidRPr="008D6911">
        <w:rPr>
          <w:b/>
          <w:bCs/>
        </w:rPr>
        <w:t>Optimaliseer de samenwerking en kennisdeling:</w:t>
      </w:r>
      <w:r w:rsidRPr="008D6911">
        <w:t xml:space="preserve"> Zorg voor duidelijke afspraken en korte lijnen met formele zorgaanbieders, zoals de jeugdhulp en </w:t>
      </w:r>
      <w:proofErr w:type="spellStart"/>
      <w:r w:rsidRPr="008D6911">
        <w:t>Wmo</w:t>
      </w:r>
      <w:proofErr w:type="spellEnd"/>
      <w:r w:rsidRPr="008D6911">
        <w:t>-aanbieders. Dit bevordert efficiënte doorverwijzing wanneer specialistische hulp wel nodig is, en maakt consultatie en kennisdeling mogelijk, zodat wijkteams hun expertise kunnen verbreden.</w:t>
      </w:r>
    </w:p>
    <w:p w14:paraId="6D8E9286" w14:textId="77777777" w:rsidR="008D6911" w:rsidRPr="008D6911" w:rsidRDefault="008D6911" w:rsidP="008D6911">
      <w:pPr>
        <w:numPr>
          <w:ilvl w:val="0"/>
          <w:numId w:val="3"/>
        </w:numPr>
      </w:pPr>
      <w:r w:rsidRPr="008D6911">
        <w:rPr>
          <w:b/>
          <w:bCs/>
        </w:rPr>
        <w:t>Monitor resultaten op cliëntniveau:</w:t>
      </w:r>
      <w:r w:rsidRPr="008D6911">
        <w:t xml:space="preserve"> Ga verder dan alleen tellen hoeveel aanvragen het wijkteam afvangt of doorverwijst. Meet de daadwerkelijke </w:t>
      </w:r>
      <w:r w:rsidRPr="008D6911">
        <w:rPr>
          <w:b/>
          <w:bCs/>
        </w:rPr>
        <w:t>uitkomsten</w:t>
      </w:r>
      <w:r w:rsidRPr="008D6911">
        <w:t xml:space="preserve"> voor de cliënt: is de zelfredzaamheid vergroot? Is de situatie verbeterd? Dit vereist een focus op langetermijneffecten en cliënttevredenheid.</w:t>
      </w:r>
    </w:p>
    <w:p w14:paraId="119806C2" w14:textId="77777777" w:rsidR="008D6911" w:rsidRPr="008D6911" w:rsidRDefault="008D6911" w:rsidP="008D6911">
      <w:pPr>
        <w:numPr>
          <w:ilvl w:val="0"/>
          <w:numId w:val="3"/>
        </w:numPr>
      </w:pPr>
      <w:r w:rsidRPr="008D6911">
        <w:rPr>
          <w:b/>
          <w:bCs/>
        </w:rPr>
        <w:t>Benut lokale data voor beleidssturing:</w:t>
      </w:r>
      <w:r w:rsidRPr="008D6911">
        <w:t xml:space="preserve"> Verzamel als gemeente systematisch data over de aard van de hulpvragen, de geboden ondersteuning en de effecten. Gebruik deze inzichten om de werkwijze van de wijkteams continu te evalueren en bij te sturen. Dit helpt om een optimale balans te vinden tussen zelfondersteuning en formele zorg, afgestemd op de lokale behoeften.</w:t>
      </w:r>
    </w:p>
    <w:p w14:paraId="2526DE2E" w14:textId="77777777" w:rsidR="00FF3849" w:rsidRDefault="00FF3849"/>
    <w:sectPr w:rsidR="00FF384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B280A" w14:textId="77777777" w:rsidR="008D6911" w:rsidRDefault="008D6911" w:rsidP="008D6911">
      <w:pPr>
        <w:spacing w:after="0" w:line="240" w:lineRule="auto"/>
      </w:pPr>
      <w:r>
        <w:separator/>
      </w:r>
    </w:p>
  </w:endnote>
  <w:endnote w:type="continuationSeparator" w:id="0">
    <w:p w14:paraId="5F7EC664" w14:textId="77777777" w:rsidR="008D6911" w:rsidRDefault="008D6911" w:rsidP="008D6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AA9CA" w14:textId="77777777" w:rsidR="008D6911" w:rsidRDefault="008D6911" w:rsidP="008D6911">
      <w:pPr>
        <w:spacing w:after="0" w:line="240" w:lineRule="auto"/>
      </w:pPr>
      <w:r>
        <w:separator/>
      </w:r>
    </w:p>
  </w:footnote>
  <w:footnote w:type="continuationSeparator" w:id="0">
    <w:p w14:paraId="54BB9CD5" w14:textId="77777777" w:rsidR="008D6911" w:rsidRDefault="008D6911" w:rsidP="008D6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EF978" w14:textId="2EBA99BC" w:rsidR="008D6911" w:rsidRDefault="008D6911">
    <w:pPr>
      <w:pStyle w:val="Koptekst"/>
    </w:pPr>
    <w:r w:rsidRPr="00357790">
      <w:rPr>
        <w:b/>
        <w:bCs/>
        <w:noProof/>
        <w:sz w:val="48"/>
        <w:szCs w:val="48"/>
      </w:rPr>
      <w:drawing>
        <wp:inline distT="0" distB="0" distL="0" distR="0" wp14:anchorId="47A87B11" wp14:editId="03374DE6">
          <wp:extent cx="876300" cy="369278"/>
          <wp:effectExtent l="0" t="0" r="0" b="0"/>
          <wp:docPr id="400670335" name="Afbeelding 10" descr="Afbeelding met Lettertype, Graphics, tekst, grafische vormgev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670335" name="Afbeelding 10" descr="Afbeelding met Lettertype, Graphics, tekst, grafische vormgeving&#10;&#10;Door AI gegenereerde inhoud is mogelijk onjui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1487" cy="37567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6770B"/>
    <w:multiLevelType w:val="multilevel"/>
    <w:tmpl w:val="538C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F76405"/>
    <w:multiLevelType w:val="multilevel"/>
    <w:tmpl w:val="DF1C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D1E8D"/>
    <w:multiLevelType w:val="multilevel"/>
    <w:tmpl w:val="9D684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0B0B96"/>
    <w:multiLevelType w:val="multilevel"/>
    <w:tmpl w:val="3266D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747898"/>
    <w:multiLevelType w:val="multilevel"/>
    <w:tmpl w:val="582C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B0EDF"/>
    <w:multiLevelType w:val="multilevel"/>
    <w:tmpl w:val="8668A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E27351"/>
    <w:multiLevelType w:val="multilevel"/>
    <w:tmpl w:val="8C24A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37830253">
    <w:abstractNumId w:val="2"/>
  </w:num>
  <w:num w:numId="2" w16cid:durableId="217664700">
    <w:abstractNumId w:val="5"/>
  </w:num>
  <w:num w:numId="3" w16cid:durableId="1909267806">
    <w:abstractNumId w:val="6"/>
  </w:num>
  <w:num w:numId="4" w16cid:durableId="802385136">
    <w:abstractNumId w:val="4"/>
  </w:num>
  <w:num w:numId="5" w16cid:durableId="429349057">
    <w:abstractNumId w:val="0"/>
  </w:num>
  <w:num w:numId="6" w16cid:durableId="1392652885">
    <w:abstractNumId w:val="3"/>
  </w:num>
  <w:num w:numId="7" w16cid:durableId="102066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11"/>
    <w:rsid w:val="00115CED"/>
    <w:rsid w:val="00157DD7"/>
    <w:rsid w:val="002B26E6"/>
    <w:rsid w:val="003B6B39"/>
    <w:rsid w:val="003E43AA"/>
    <w:rsid w:val="008327F8"/>
    <w:rsid w:val="008D6911"/>
    <w:rsid w:val="00B02583"/>
    <w:rsid w:val="00BE17FE"/>
    <w:rsid w:val="00E41450"/>
    <w:rsid w:val="00FF38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9402"/>
  <w15:chartTrackingRefBased/>
  <w15:docId w15:val="{7B17B4E3-EC8A-4E19-A915-D2142291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D69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D69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D691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D691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D691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D691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D691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D691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D691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D691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D691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D691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D691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D691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D691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D691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D691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D6911"/>
    <w:rPr>
      <w:rFonts w:eastAsiaTheme="majorEastAsia" w:cstheme="majorBidi"/>
      <w:color w:val="272727" w:themeColor="text1" w:themeTint="D8"/>
    </w:rPr>
  </w:style>
  <w:style w:type="paragraph" w:styleId="Titel">
    <w:name w:val="Title"/>
    <w:basedOn w:val="Standaard"/>
    <w:next w:val="Standaard"/>
    <w:link w:val="TitelChar"/>
    <w:uiPriority w:val="10"/>
    <w:qFormat/>
    <w:rsid w:val="008D69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D691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D691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D691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D691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D6911"/>
    <w:rPr>
      <w:i/>
      <w:iCs/>
      <w:color w:val="404040" w:themeColor="text1" w:themeTint="BF"/>
    </w:rPr>
  </w:style>
  <w:style w:type="paragraph" w:styleId="Lijstalinea">
    <w:name w:val="List Paragraph"/>
    <w:basedOn w:val="Standaard"/>
    <w:uiPriority w:val="34"/>
    <w:qFormat/>
    <w:rsid w:val="008D6911"/>
    <w:pPr>
      <w:ind w:left="720"/>
      <w:contextualSpacing/>
    </w:pPr>
  </w:style>
  <w:style w:type="character" w:styleId="Intensievebenadrukking">
    <w:name w:val="Intense Emphasis"/>
    <w:basedOn w:val="Standaardalinea-lettertype"/>
    <w:uiPriority w:val="21"/>
    <w:qFormat/>
    <w:rsid w:val="008D6911"/>
    <w:rPr>
      <w:i/>
      <w:iCs/>
      <w:color w:val="0F4761" w:themeColor="accent1" w:themeShade="BF"/>
    </w:rPr>
  </w:style>
  <w:style w:type="paragraph" w:styleId="Duidelijkcitaat">
    <w:name w:val="Intense Quote"/>
    <w:basedOn w:val="Standaard"/>
    <w:next w:val="Standaard"/>
    <w:link w:val="DuidelijkcitaatChar"/>
    <w:uiPriority w:val="30"/>
    <w:qFormat/>
    <w:rsid w:val="008D69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D6911"/>
    <w:rPr>
      <w:i/>
      <w:iCs/>
      <w:color w:val="0F4761" w:themeColor="accent1" w:themeShade="BF"/>
    </w:rPr>
  </w:style>
  <w:style w:type="character" w:styleId="Intensieveverwijzing">
    <w:name w:val="Intense Reference"/>
    <w:basedOn w:val="Standaardalinea-lettertype"/>
    <w:uiPriority w:val="32"/>
    <w:qFormat/>
    <w:rsid w:val="008D6911"/>
    <w:rPr>
      <w:b/>
      <w:bCs/>
      <w:smallCaps/>
      <w:color w:val="0F4761" w:themeColor="accent1" w:themeShade="BF"/>
      <w:spacing w:val="5"/>
    </w:rPr>
  </w:style>
  <w:style w:type="character" w:styleId="Hyperlink">
    <w:name w:val="Hyperlink"/>
    <w:basedOn w:val="Standaardalinea-lettertype"/>
    <w:uiPriority w:val="99"/>
    <w:unhideWhenUsed/>
    <w:rsid w:val="008D6911"/>
    <w:rPr>
      <w:color w:val="467886" w:themeColor="hyperlink"/>
      <w:u w:val="single"/>
    </w:rPr>
  </w:style>
  <w:style w:type="character" w:styleId="Onopgelostemelding">
    <w:name w:val="Unresolved Mention"/>
    <w:basedOn w:val="Standaardalinea-lettertype"/>
    <w:uiPriority w:val="99"/>
    <w:semiHidden/>
    <w:unhideWhenUsed/>
    <w:rsid w:val="008D6911"/>
    <w:rPr>
      <w:color w:val="605E5C"/>
      <w:shd w:val="clear" w:color="auto" w:fill="E1DFDD"/>
    </w:rPr>
  </w:style>
  <w:style w:type="paragraph" w:styleId="Koptekst">
    <w:name w:val="header"/>
    <w:basedOn w:val="Standaard"/>
    <w:link w:val="KoptekstChar"/>
    <w:uiPriority w:val="99"/>
    <w:unhideWhenUsed/>
    <w:rsid w:val="008D691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D6911"/>
  </w:style>
  <w:style w:type="paragraph" w:styleId="Voettekst">
    <w:name w:val="footer"/>
    <w:basedOn w:val="Standaard"/>
    <w:link w:val="VoettekstChar"/>
    <w:uiPriority w:val="99"/>
    <w:unhideWhenUsed/>
    <w:rsid w:val="008D691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D69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928526">
      <w:bodyDiv w:val="1"/>
      <w:marLeft w:val="0"/>
      <w:marRight w:val="0"/>
      <w:marTop w:val="0"/>
      <w:marBottom w:val="0"/>
      <w:divBdr>
        <w:top w:val="none" w:sz="0" w:space="0" w:color="auto"/>
        <w:left w:val="none" w:sz="0" w:space="0" w:color="auto"/>
        <w:bottom w:val="none" w:sz="0" w:space="0" w:color="auto"/>
        <w:right w:val="none" w:sz="0" w:space="0" w:color="auto"/>
      </w:divBdr>
    </w:div>
    <w:div w:id="1757021686">
      <w:bodyDiv w:val="1"/>
      <w:marLeft w:val="0"/>
      <w:marRight w:val="0"/>
      <w:marTop w:val="0"/>
      <w:marBottom w:val="0"/>
      <w:divBdr>
        <w:top w:val="none" w:sz="0" w:space="0" w:color="auto"/>
        <w:left w:val="none" w:sz="0" w:space="0" w:color="auto"/>
        <w:bottom w:val="none" w:sz="0" w:space="0" w:color="auto"/>
        <w:right w:val="none" w:sz="0" w:space="0" w:color="auto"/>
      </w:divBdr>
    </w:div>
    <w:div w:id="1880512425">
      <w:bodyDiv w:val="1"/>
      <w:marLeft w:val="0"/>
      <w:marRight w:val="0"/>
      <w:marTop w:val="0"/>
      <w:marBottom w:val="0"/>
      <w:divBdr>
        <w:top w:val="none" w:sz="0" w:space="0" w:color="auto"/>
        <w:left w:val="none" w:sz="0" w:space="0" w:color="auto"/>
        <w:bottom w:val="none" w:sz="0" w:space="0" w:color="auto"/>
        <w:right w:val="none" w:sz="0" w:space="0" w:color="auto"/>
      </w:divBdr>
    </w:div>
    <w:div w:id="21216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ons-welzijn.nl/nieuws/2022/het-succes-achter-de-wijktea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1496</Words>
  <Characters>8229</Characters>
  <Application>Microsoft Office Word</Application>
  <DocSecurity>0</DocSecurity>
  <Lines>68</Lines>
  <Paragraphs>19</Paragraphs>
  <ScaleCrop>false</ScaleCrop>
  <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Taco Jansen | Wyzer</dc:creator>
  <cp:keywords/>
  <dc:description/>
  <cp:lastModifiedBy>Taco Jansen | Wyzer</cp:lastModifiedBy>
  <cp:revision>2</cp:revision>
  <dcterms:created xsi:type="dcterms:W3CDTF">2025-05-21T08:57:00Z</dcterms:created>
  <dcterms:modified xsi:type="dcterms:W3CDTF">2025-05-21T08:57:00Z</dcterms:modified>
</cp:coreProperties>
</file>